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A200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A2005">
        <w:rPr>
          <w:rFonts w:ascii="Century" w:eastAsia="Calibri" w:hAnsi="Century"/>
          <w:bCs/>
          <w:sz w:val="32"/>
          <w:szCs w:val="36"/>
          <w:lang w:eastAsia="ru-RU"/>
        </w:rPr>
        <w:t>67</w:t>
      </w:r>
    </w:p>
    <w:p w:rsidR="00CC1632" w:rsidRPr="00E15580" w:rsidRDefault="00AA2005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A2005">
        <w:rPr>
          <w:rFonts w:ascii="Century" w:hAnsi="Century"/>
          <w:b/>
          <w:sz w:val="26"/>
          <w:szCs w:val="26"/>
        </w:rPr>
        <w:t>Гурин Іванні Йосипівні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AA2005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AA2005">
        <w:rPr>
          <w:rFonts w:ascii="Century" w:hAnsi="Century"/>
          <w:b/>
          <w:sz w:val="26"/>
          <w:szCs w:val="26"/>
        </w:rPr>
        <w:t>вул. Шевченка, 52, с. Родатичі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AA2005">
        <w:rPr>
          <w:rFonts w:ascii="Century" w:hAnsi="Century"/>
          <w:sz w:val="26"/>
          <w:szCs w:val="26"/>
        </w:rPr>
        <w:t>Гурин Іванні Йосипівні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AA2005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AA2005">
        <w:rPr>
          <w:rFonts w:ascii="Century" w:hAnsi="Century"/>
          <w:sz w:val="26"/>
          <w:szCs w:val="26"/>
        </w:rPr>
        <w:t>вул. Шевченка, 52, с. Родатичі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AA2005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A2005">
        <w:rPr>
          <w:rFonts w:ascii="Century" w:hAnsi="Century"/>
          <w:bCs/>
          <w:sz w:val="26"/>
          <w:szCs w:val="26"/>
        </w:rPr>
        <w:t>Гурин Іванні Йосипівні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AA2005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AA2005">
        <w:rPr>
          <w:rFonts w:ascii="Century" w:hAnsi="Century"/>
          <w:bCs/>
          <w:sz w:val="26"/>
          <w:szCs w:val="26"/>
        </w:rPr>
        <w:t>4620987600:34:014:0054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AA200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AA2005">
        <w:rPr>
          <w:rFonts w:ascii="Century" w:hAnsi="Century"/>
          <w:bCs/>
          <w:sz w:val="26"/>
          <w:szCs w:val="26"/>
        </w:rPr>
        <w:t>вул. Шевченка, 52, с. Родатичі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AA2005">
        <w:rPr>
          <w:rFonts w:ascii="Century" w:hAnsi="Century"/>
          <w:bCs/>
          <w:sz w:val="26"/>
          <w:szCs w:val="26"/>
        </w:rPr>
        <w:t>Гурин Іванні Йосипівні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AA2005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AA2005">
        <w:rPr>
          <w:rFonts w:ascii="Century" w:hAnsi="Century"/>
          <w:bCs/>
          <w:sz w:val="26"/>
          <w:szCs w:val="26"/>
        </w:rPr>
        <w:t>4620987600:34:014:0054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AA200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AA2005">
        <w:rPr>
          <w:rFonts w:ascii="Century" w:hAnsi="Century"/>
          <w:bCs/>
          <w:sz w:val="26"/>
          <w:szCs w:val="26"/>
        </w:rPr>
        <w:t>вул. Шевченка, 52, с. Родатичі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AA2005">
        <w:rPr>
          <w:rFonts w:ascii="Century" w:hAnsi="Century"/>
          <w:bCs/>
          <w:sz w:val="26"/>
          <w:szCs w:val="26"/>
        </w:rPr>
        <w:t>Гурин Іванні Йосипівні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005" w:rsidRDefault="00AA2005" w:rsidP="00381483">
      <w:pPr>
        <w:spacing w:after="0" w:line="240" w:lineRule="auto"/>
      </w:pPr>
      <w:r>
        <w:separator/>
      </w:r>
    </w:p>
  </w:endnote>
  <w:endnote w:type="continuationSeparator" w:id="0">
    <w:p w:rsidR="00AA2005" w:rsidRDefault="00AA20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005" w:rsidRDefault="00AA2005" w:rsidP="00381483">
      <w:pPr>
        <w:spacing w:after="0" w:line="240" w:lineRule="auto"/>
      </w:pPr>
      <w:r>
        <w:separator/>
      </w:r>
    </w:p>
  </w:footnote>
  <w:footnote w:type="continuationSeparator" w:id="0">
    <w:p w:rsidR="00AA2005" w:rsidRDefault="00AA20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AA2005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